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tblHeader w:val="0"/>
          <w:cantSplit w:val="0"/>
          <w:trHeight w:val="1210" w:hRule="atLeast"/>
        </w:trPr>
        <w:tc>
          <w:tcPr>
            <w:tcW w:w="10182" w:type="dxa"/>
            <w:gridSpan w:val="10"/>
            <w:tmTcPr id="1751343095" protected="0"/>
          </w:tcPr>
          <w:p>
            <w:pPr>
              <w:spacing/>
              <w:jc w:val="center"/>
              <w:hyphenationLines w:val="1"/>
              <w:rPr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919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182" w:type="dxa"/>
            <w:gridSpan w:val="10"/>
            <w:tmTcPr id="1751343095" protected="0"/>
          </w:tcPr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  <w:r>
              <w:rPr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/>
              <w:jc w:val="center"/>
              <w:hyphenationLines w:val="1"/>
              <w:rPr>
                <w:rFonts w:ascii="Arial Narrow" w:hAnsi="Arial Narrow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10182" w:type="dxa"/>
            <w:gridSpan w:val="10"/>
            <w:tmTcPr id="1751343095" protected="0"/>
          </w:tcPr>
          <w:p>
            <w:pPr>
              <w:spacing/>
              <w:jc w:val="center"/>
              <w:hyphenationLines w:val="1"/>
              <w:rPr>
                <w:rFonts w:ascii="Arial Narrow" w:hAnsi="Arial Narrow"/>
                <w:b/>
                <w:caps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182" w:type="dxa"/>
            <w:gridSpan w:val="10"/>
            <w:tmTcPr id="1751343095" protected="0"/>
          </w:tcPr>
          <w:p>
            <w:pPr>
              <w:hyphenationLines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29" w:type="dxa"/>
            <w:tmTcPr id="1751343095" protected="0"/>
          </w:tcPr>
          <w:p>
            <w:pPr>
              <w:ind w:right="33"/>
              <w:spacing/>
              <w:jc w:val="right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134309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" w:type="dxa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134309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/>
            <w:bookmarkStart w:id="1" w:name="r09m"/>
            <w:r/>
            <w:r>
              <w:rPr>
                <w:sz w:val="28"/>
                <w:szCs w:val="28"/>
                <w:lang w:eastAsia="ru-ru"/>
              </w:rPr>
              <w:t xml:space="preserve"> июня  </w:t>
            </w:r>
            <w:r/>
            <w:bookmarkEnd w:id="1"/>
            <w:r/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29" w:type="dxa"/>
            <w:tmTcPr id="1751343095" protected="0"/>
          </w:tcPr>
          <w:p>
            <w:pPr>
              <w:ind w:right="-76"/>
              <w:spacing/>
              <w:jc w:val="right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1343095" protected="0"/>
          </w:tcPr>
          <w:p>
            <w:pPr>
              <w:ind w:right="-152"/>
              <w:hyphenationLines w:val="1"/>
              <w:rPr>
                <w:sz w:val="28"/>
                <w:szCs w:val="28"/>
                <w:lang w:eastAsia="ru-ru"/>
              </w:rPr>
            </w:pPr>
            <w:r/>
            <w:bookmarkStart w:id="2" w:name="r09y"/>
            <w:r/>
            <w:r>
              <w:rPr>
                <w:sz w:val="28"/>
                <w:szCs w:val="28"/>
                <w:lang w:eastAsia="ru-ru"/>
              </w:rPr>
              <w:t xml:space="preserve"> </w:t>
            </w:r>
            <w:r/>
            <w:bookmarkEnd w:id="2"/>
            <w:r/>
            <w:r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85" w:type="dxa"/>
            <w:tmTcPr id="175134309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  <w:tmTcPr id="175134309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134309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710" w:type="dxa"/>
            <w:tmTcPr id="175134309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182" w:type="dxa"/>
            <w:gridSpan w:val="10"/>
            <w:tmTcPr id="175134309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/>
        <w:jc w:val="center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spacing/>
        <w:jc w:val="center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34343c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Об организации работ </w:t>
      </w:r>
      <w:r>
        <w:rPr>
          <w:b/>
          <w:color w:val="34343c"/>
          <w:sz w:val="28"/>
          <w:szCs w:val="28"/>
          <w:lang w:eastAsia="ru-ru"/>
        </w:rPr>
        <w:t>по оценке</w:t>
      </w:r>
      <w:r>
        <w:rPr>
          <w:b/>
          <w:color w:val="34343c"/>
          <w:sz w:val="28"/>
          <w:szCs w:val="28"/>
          <w:lang w:eastAsia="ru-ru"/>
        </w:rPr>
        <w:t xml:space="preserve"> обеспечения</w:t>
      </w:r>
      <w:r>
        <w:rPr>
          <w:b/>
          <w:color w:val="34343c"/>
          <w:sz w:val="28"/>
          <w:szCs w:val="28"/>
          <w:lang w:eastAsia="ru-ru"/>
        </w:rPr>
      </w:r>
    </w:p>
    <w:p>
      <w:pPr>
        <w:spacing/>
        <w:jc w:val="center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  <w:szCs w:val="28"/>
        </w:rPr>
      </w:pPr>
      <w:r>
        <w:rPr>
          <w:b/>
          <w:color w:val="34343c"/>
          <w:sz w:val="28"/>
          <w:szCs w:val="28"/>
          <w:lang w:eastAsia="ru-ru"/>
        </w:rPr>
        <w:t xml:space="preserve">готовности к отопительному периоду 2025-2026 годов теплоснабжающих и теплосетевых организаций, потребителей тепловой энергии на территории </w:t>
      </w:r>
      <w:r>
        <w:rPr>
          <w:b/>
          <w:color w:val="000000"/>
          <w:sz w:val="28"/>
          <w:szCs w:val="28"/>
        </w:rPr>
        <w:t>Анжеро-Судженского городского округа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08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4343c"/>
          <w:sz w:val="28"/>
          <w:szCs w:val="28"/>
          <w:lang w:eastAsia="ru-ru"/>
        </w:rPr>
      </w:pPr>
      <w:r>
        <w:rPr>
          <w:sz w:val="28"/>
          <w:szCs w:val="28"/>
        </w:rPr>
        <w:t>В целях оценки готовности к отопительному периоду согласно статье 20 Федерального закона от 27.07.2010 № 190-ФЗ «О теплоснабжении», с Федеральным законом от 06.10.2003 № 131-ФЗ «Об общих принципах организации местного самоуправления в РФ»,</w:t>
      </w:r>
      <w:r>
        <w:rPr>
          <w:rFonts w:ascii="Calibri" w:hAnsi="Calibri" w:cs="Calibri"/>
          <w:color w:val="34343c"/>
          <w:sz w:val="23"/>
          <w:szCs w:val="23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>Приказом</w:t>
      </w:r>
      <w:r>
        <w:rPr>
          <w:color w:val="34343c"/>
          <w:sz w:val="28"/>
          <w:szCs w:val="28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>Минэнерго</w:t>
      </w:r>
      <w:r>
        <w:rPr>
          <w:color w:val="34343c"/>
          <w:sz w:val="28"/>
          <w:szCs w:val="28"/>
          <w:lang w:eastAsia="ru-ru"/>
        </w:rPr>
        <w:t xml:space="preserve"> России</w:t>
      </w:r>
      <w:r/>
      <w:bookmarkStart w:id="3" w:name="_GoBack"/>
      <w:r/>
      <w:bookmarkEnd w:id="3"/>
      <w:r/>
      <w:r>
        <w:rPr>
          <w:color w:val="34343c"/>
          <w:sz w:val="28"/>
          <w:szCs w:val="28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>от 13.11.2024г. № 2234 «Об утверждении Правил обеспечения готовности к</w:t>
      </w:r>
      <w:r>
        <w:rPr>
          <w:color w:val="34343c"/>
          <w:sz w:val="28"/>
          <w:szCs w:val="28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>отопительному периоду и Порядка проведения оценки обеспечения</w:t>
      </w:r>
      <w:r>
        <w:rPr>
          <w:color w:val="34343c"/>
          <w:sz w:val="28"/>
          <w:szCs w:val="28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>готовности к отопительному периоду</w:t>
      </w:r>
      <w:r>
        <w:rPr>
          <w:color w:val="34343c"/>
          <w:sz w:val="28"/>
          <w:szCs w:val="28"/>
          <w:lang w:eastAsia="ru-ru"/>
        </w:rPr>
        <w:t>»</w:t>
      </w:r>
      <w:r>
        <w:rPr>
          <w:color w:val="34343c"/>
          <w:sz w:val="28"/>
          <w:szCs w:val="28"/>
          <w:lang w:eastAsia="ru-ru"/>
        </w:rPr>
        <w:t>:</w:t>
      </w:r>
      <w:r>
        <w:rPr>
          <w:color w:val="34343c"/>
          <w:sz w:val="28"/>
          <w:szCs w:val="28"/>
          <w:lang w:eastAsia="ru-ru"/>
        </w:rPr>
      </w:r>
    </w:p>
    <w:p>
      <w:pPr>
        <w:ind w:right="-6" w:firstLine="708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Создать комиссию по проведению оценки обеспечения готовности к отопительному периоду 2025-2026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теплосетевых, теплоснабжающих организаций, потребителей тепловой энергии</w:t>
      </w:r>
      <w:r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sz w:val="28"/>
          <w:szCs w:val="28"/>
          <w:lang w:eastAsia="en-us"/>
        </w:rPr>
        <w:t>Анжеро-Судженского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Комиссия)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приложение № 1</w:t>
      </w:r>
      <w:r>
        <w:rPr>
          <w:rFonts w:eastAsia="Calibri"/>
          <w:sz w:val="28"/>
          <w:szCs w:val="28"/>
          <w:lang w:eastAsia="en-us"/>
        </w:rPr>
        <w:t>).</w:t>
      </w:r>
      <w:r>
        <w:rPr>
          <w:rFonts w:eastAsia="Calibri"/>
          <w:sz w:val="28"/>
          <w:szCs w:val="28"/>
          <w:lang w:eastAsia="en-us"/>
        </w:rPr>
      </w:r>
    </w:p>
    <w:p>
      <w:pPr>
        <w:ind w:right="-6" w:firstLine="708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Установить, что Комиссия осуществляет оценку обе</w:t>
      </w:r>
      <w:r>
        <w:rPr>
          <w:rFonts w:eastAsia="Calibri"/>
          <w:sz w:val="28"/>
          <w:szCs w:val="28"/>
          <w:lang w:eastAsia="en-us"/>
        </w:rPr>
        <w:t xml:space="preserve">спечения </w:t>
      </w:r>
      <w:r>
        <w:rPr>
          <w:rFonts w:eastAsia="Calibri"/>
          <w:sz w:val="28"/>
          <w:szCs w:val="28"/>
          <w:lang w:eastAsia="en-us"/>
        </w:rPr>
        <w:t>готовности к отопительному периоду следующих лиц:</w:t>
      </w:r>
      <w:r>
        <w:rPr>
          <w:rFonts w:eastAsia="Calibri"/>
          <w:sz w:val="28"/>
          <w:szCs w:val="28"/>
          <w:lang w:eastAsia="en-us"/>
        </w:rPr>
      </w:r>
    </w:p>
    <w:p>
      <w:pPr>
        <w:ind w:right="-6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     теплоснабжающих, теплосетевых организаций; </w:t>
      </w:r>
    </w:p>
    <w:p>
      <w:pPr>
        <w:spacing/>
        <w:contextualSpacing/>
        <w:jc w:val="both"/>
        <w:hyphenationLines w:val="1"/>
        <w:tabs defTabSz="708">
          <w:tab w:val="left" w:pos="851" w:leader="none"/>
        </w:tabs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-  потребителей тепловой энергии, теплопотребляющие</w:t>
      </w:r>
      <w:r>
        <w:rPr>
          <w:rFonts w:eastAsia="SimSun"/>
          <w:sz w:val="28"/>
          <w:szCs w:val="28"/>
          <w:lang w:eastAsia="ru-ru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установках;</w:t>
      </w:r>
      <w:r>
        <w:rPr>
          <w:rFonts w:eastAsia="SimSun"/>
          <w:sz w:val="28"/>
          <w:szCs w:val="28"/>
          <w:lang w:eastAsia="ru-ru"/>
        </w:rPr>
      </w:r>
    </w:p>
    <w:p>
      <w:pPr>
        <w:spacing/>
        <w:contextualSpacing/>
        <w:jc w:val="both"/>
        <w:hyphenationLines w:val="1"/>
        <w:tabs defTabSz="708">
          <w:tab w:val="left" w:pos="851" w:leader="none"/>
        </w:tabs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 -</w:t>
        <w:tab/>
        <w:t xml:space="preserve">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(домовладений);</w:t>
      </w:r>
    </w:p>
    <w:p>
      <w:pPr>
        <w:spacing/>
        <w:contextualSpacing/>
        <w:jc w:val="both"/>
        <w:hyphenationLines w:val="1"/>
        <w:widowControl w:val="0"/>
        <w:tabs defTabSz="708">
          <w:tab w:val="left" w:pos="851" w:leader="none"/>
        </w:tabs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ab/>
        <w:t>-управляющих организаций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Федерации;</w:t>
      </w:r>
    </w:p>
    <w:p>
      <w:pPr>
        <w:spacing/>
        <w:contextualSpacing/>
        <w:jc w:val="both"/>
        <w:hyphenationLines w:val="1"/>
        <w:widowControl w:val="0"/>
        <w:tabs defTabSz="708">
          <w:tab w:val="left" w:pos="851" w:leader="none"/>
        </w:tabs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ab/>
        <w:t>-лиц,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законодательства;</w:t>
      </w:r>
    </w:p>
    <w:p>
      <w:pPr>
        <w:spacing/>
        <w:contextualSpacing/>
        <w:jc w:val="both"/>
        <w:hyphenationLines w:val="1"/>
        <w:widowControl w:val="0"/>
        <w:tabs defTabSz="708">
          <w:tab w:val="left" w:pos="851" w:leader="none"/>
        </w:tabs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ab/>
        <w:t>-владельцев тепловых сетей, которые не являются теплосетевыми организациями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Федерации от 08.08.2012 № 808,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организаций.</w:t>
      </w:r>
    </w:p>
    <w:p>
      <w:pPr>
        <w:ind w:right="-6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3. Утвердить программу проведения оценки обеспечения готовности к отопительному периоду лиц, указанных в пункте 2 настоящего постановления, изложенную в приложении 2 к настоящему постановлению</w:t>
      </w:r>
    </w:p>
    <w:p>
      <w:pPr>
        <w:ind w:right="-6"/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 xml:space="preserve">4.Опубликовать настоящее постановление в массовой газете Анжеро-Судженского городского округа «Наш город» и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9" w:history="1">
        <w:r>
          <w:rPr>
            <w:rStyle w:val="char3"/>
            <w:color w:val="auto"/>
            <w:sz w:val="28"/>
            <w:szCs w:val="28"/>
          </w:rPr>
          <w:t>www.anzhero.ru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</w:r>
    </w:p>
    <w:p>
      <w:pPr>
        <w:ind w:firstLine="708"/>
        <w:spacing/>
        <w:jc w:val="both"/>
        <w:hyphenationLines w:val="1"/>
        <w:tabs defTabSz="708">
          <w:tab w:val="left" w:pos="1134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5.Настоящие постановление вступает в силу после его официального опубликования.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page">
              <wp:posOffset>3591560</wp:posOffset>
            </wp:positionH>
            <wp:positionV relativeFrom="page">
              <wp:posOffset>9149715</wp:posOffset>
            </wp:positionV>
            <wp:extent cx="1390650" cy="1390650"/>
            <wp:effectExtent l="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919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IIAAAAAAAAAAAAAAAAAAAAAAAAYFgAAAAAAAAAAAABJOAAAjggAAI4IAAABAAAAGBYAAEk4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 Контроль за исполнением настоящего постановления возложить на заместителя главы Анжеро-Судженского городского округа по жилищно-коммунальному хозяйству Хамидулина Э.Р.</w:t>
      </w:r>
    </w:p>
    <w:p>
      <w:pPr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Анжеро-Судженского</w:t>
      </w:r>
      <w:r>
        <w:rPr>
          <w:color w:val="000000"/>
          <w:sz w:val="28"/>
          <w:szCs w:val="28"/>
        </w:rPr>
        <w:t xml:space="preserve"> </w:t>
      </w:r>
    </w:p>
    <w:p>
      <w:pPr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  <w:tab/>
        <w:t xml:space="preserve">                                                                Д.В.Ажичаков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>Анжеро-Судженского городского округа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color="auto" w:val="single"/>
        </w:rPr>
        <w:t xml:space="preserve">30 июня 2025г.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688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</w:pPr>
      <w:r/>
    </w:p>
    <w:p>
      <w:pPr>
        <w:spacing/>
        <w:jc w:val="right"/>
        <w:tabs defTabSz="708">
          <w:tab w:val="left" w:pos="567" w:leader="none"/>
          <w:tab w:val="left" w:pos="7655" w:leader="none"/>
        </w:tabs>
      </w:pPr>
      <w:r/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Состав комиссии</w:t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 проведению оценки обеспечения готовности к отопительному </w:t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периоду 2025-2026 гг.</w:t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885" w:type="dxa"/>
        <w:tblLook w:val="04A0" w:firstRow="1" w:lastRow="0" w:firstColumn="1" w:lastColumn="0" w:noHBand="0" w:noVBand="1"/>
      </w:tblPr>
      <w:tblGrid>
        <w:gridCol w:w="2517"/>
        <w:gridCol w:w="142"/>
        <w:gridCol w:w="7226"/>
      </w:tblGrid>
      <w:tr>
        <w:trPr>
          <w:tblHeader w:val="0"/>
          <w:cantSplit w:val="0"/>
          <w:trHeight w:val="0" w:hRule="auto"/>
        </w:trPr>
        <w:tc>
          <w:tcPr>
            <w:tcW w:w="2517" w:type="dxa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Хамидулин Э.Р.</w:t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Масалкин М.С.         </w:t>
            </w:r>
          </w:p>
        </w:tc>
        <w:tc>
          <w:tcPr>
            <w:tcW w:w="7368" w:type="dxa"/>
            <w:gridSpan w:val="2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комиссии:</w:t>
            </w:r>
          </w:p>
          <w:p>
            <w:pPr>
              <w:ind w:firstLine="33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-заместитель главы городского округа по вопросам жилищно-коммунального хозяйства администрации Анжеро-Судженского городского округа</w:t>
            </w:r>
          </w:p>
          <w:p>
            <w:pPr>
              <w:ind w:firstLine="33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>
            <w:pPr>
              <w:ind w:firstLine="33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начальник УЖКХ администрации Анжеро-Судженского городского округа</w:t>
            </w:r>
          </w:p>
          <w:p>
            <w:pPr>
              <w:ind w:firstLine="33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5" w:type="dxa"/>
            <w:gridSpan w:val="3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Члены рабочей комиссии:</w:t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630" w:hRule="atLeast"/>
        </w:trPr>
        <w:tc>
          <w:tcPr>
            <w:tcW w:w="2659" w:type="dxa"/>
            <w:gridSpan w:val="2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Верещагин С.Н.</w:t>
            </w:r>
          </w:p>
          <w:p>
            <w:pPr>
              <w:spacing/>
              <w:jc w:val="both"/>
              <w:hyphenationLines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226" w:type="dxa"/>
            <w:tmTcPr id="1751343095" protected="0"/>
          </w:tcPr>
          <w:tbl>
            <w:tblPr>
              <w:tblStyle w:val="NormalTable"/>
              <w:name w:val="Таблица2"/>
              <w:tabOrder w:val="0"/>
              <w:jc w:val="left"/>
              <w:tblInd w:w="0" w:type="dxa"/>
              <w:tblW w:w="7335" w:type="dxa"/>
              <w:tblLook w:val="04A0" w:firstRow="1" w:lastRow="0" w:firstColumn="1" w:lastColumn="0" w:noHBand="0" w:noVBand="1"/>
            </w:tblPr>
            <w:tblGrid>
              <w:gridCol w:w="7335"/>
            </w:tblGrid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7335" w:type="dxa"/>
                  <w:tmTcPr id="1751343095" protected="0"/>
                </w:tcPr>
                <w:p>
                  <w:pPr>
                    <w:spacing/>
                    <w:jc w:val="both"/>
                    <w:hyphenationLines w:val="1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-гос.инспектор </w:t>
                  </w:r>
                  <w:r>
                    <w:rPr>
                      <w:sz w:val="28"/>
                      <w:szCs w:val="28"/>
                      <w:shd w:val="clear" w:fill="ffffff"/>
                      <w:lang w:eastAsia="ru-ru"/>
                    </w:rPr>
                    <w:t>«Сибирского управления Федеральной службы </w:t>
                  </w:r>
                  <w:r>
                    <w:rPr>
                      <w:bCs/>
                      <w:sz w:val="28"/>
                      <w:szCs w:val="28"/>
                      <w:shd w:val="clear" w:fill="ffffff"/>
                      <w:lang w:eastAsia="ru-ru"/>
                    </w:rPr>
                    <w:t>Ростехнадзора</w:t>
                  </w:r>
                  <w:r>
                    <w:rPr>
                      <w:sz w:val="28"/>
                      <w:szCs w:val="28"/>
                      <w:shd w:val="clear" w:fill="ffffff"/>
                      <w:lang w:eastAsia="ru-ru"/>
                    </w:rPr>
                    <w:t>»</w:t>
                  </w:r>
                  <w:r>
                    <w:rPr>
                      <w:sz w:val="28"/>
                      <w:szCs w:val="28"/>
                      <w:lang w:eastAsia="ru-ru"/>
                    </w:rPr>
                  </w:r>
                </w:p>
              </w:tc>
            </w:tr>
          </w:tbl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59" w:type="dxa"/>
            <w:gridSpan w:val="2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Никитина Г.В.</w:t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7226" w:type="dxa"/>
            <w:tmTcPr id="1751343095" protected="0"/>
          </w:tcPr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отдела инспектирования отделения зоны «Север» ГЖИ Кузбасса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59" w:type="dxa"/>
            <w:gridSpan w:val="2"/>
            <w:tmTcPr id="175134309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Воронкин Р.Б.</w:t>
            </w:r>
          </w:p>
          <w:p>
            <w:pPr>
              <w:spacing/>
              <w:jc w:val="both"/>
              <w:hyphenationLines w:val="1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Култаев М.А.</w:t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Звонкова И.В.</w:t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7226" w:type="dxa"/>
            <w:tmTcPr id="1751343095" protected="0"/>
          </w:tcPr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-гос.инспектор «Центр оперативного контроля ЖК и ДК Кузбасса» </w:t>
            </w:r>
          </w:p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-гос.инспектор </w:t>
            </w:r>
            <w:r>
              <w:rPr>
                <w:sz w:val="28"/>
                <w:szCs w:val="28"/>
                <w:shd w:val="clear" w:fill="ffffff"/>
                <w:lang w:eastAsia="ru-ru"/>
              </w:rPr>
              <w:t>«Сибирского управления Федеральной службы </w:t>
            </w:r>
            <w:r>
              <w:rPr>
                <w:bCs/>
                <w:sz w:val="28"/>
                <w:szCs w:val="28"/>
                <w:shd w:val="clear" w:fill="ffffff"/>
                <w:lang w:eastAsia="ru-ru"/>
              </w:rPr>
              <w:t>Ростехнадзора</w:t>
            </w:r>
            <w:r>
              <w:rPr>
                <w:sz w:val="28"/>
                <w:szCs w:val="28"/>
                <w:shd w:val="clear" w:fill="ffffff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-гос.инспектор </w:t>
            </w:r>
            <w:r>
              <w:rPr>
                <w:sz w:val="28"/>
                <w:szCs w:val="28"/>
                <w:shd w:val="clear" w:fill="ffffff"/>
                <w:lang w:eastAsia="ru-ru"/>
              </w:rPr>
              <w:t>«Сибирского управления Федеральной службы </w:t>
            </w:r>
            <w:r>
              <w:rPr>
                <w:bCs/>
                <w:sz w:val="28"/>
                <w:szCs w:val="28"/>
                <w:shd w:val="clear" w:fill="ffffff"/>
                <w:lang w:eastAsia="ru-ru"/>
              </w:rPr>
              <w:t>Ростехнадзора</w:t>
            </w:r>
            <w:r>
              <w:rPr>
                <w:sz w:val="28"/>
                <w:szCs w:val="28"/>
                <w:shd w:val="clear" w:fill="ffffff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ind w:firstLine="108"/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both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br w:type="page"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>
        <w:rPr>
          <w:sz w:val="24"/>
          <w:szCs w:val="24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>Анжеро-Судженского городского округа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color="auto" w:val="single"/>
        </w:rPr>
        <w:t xml:space="preserve">30 июня 2025г.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688</w:t>
      </w:r>
    </w:p>
    <w:p>
      <w:pPr>
        <w:spacing/>
        <w:jc w:val="right"/>
        <w:tabs defTabSz="708">
          <w:tab w:val="left" w:pos="567" w:leader="none"/>
          <w:tab w:val="left" w:pos="7655" w:leader="none"/>
        </w:tabs>
      </w:pPr>
      <w:r/>
    </w:p>
    <w:p>
      <w:pPr>
        <w:ind w:left="6237"/>
        <w:spacing/>
        <w:jc w:val="right"/>
        <w:tabs defTabSz="708"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tabs defTabSz="708">
          <w:tab w:val="right" w:pos="992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оценки обеспечения готовности к отопительному периоду 2025-2026 гг. на территории Анжеро-Судженского городского округа</w:t>
      </w:r>
    </w:p>
    <w:p>
      <w:pPr>
        <w:spacing/>
        <w:jc w:val="both"/>
        <w:tabs defTabSz="708"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10"/>
        <w:numPr>
          <w:ilvl w:val="0"/>
          <w:numId w:val="7"/>
        </w:numPr>
        <w:ind w:left="360" w:hanging="218"/>
        <w:spacing w:before="240" w:after="120" w:line="240" w:lineRule="auto"/>
        <w:jc w:val="center"/>
        <w:tabs defTabSz="708">
          <w:tab w:val="right" w:pos="992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>
      <w:pPr>
        <w:pStyle w:val="para110"/>
        <w:ind w:left="0" w:firstLine="70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проведения оценки обеспечения готовности теплоснабжающих организаций и потребителей тепловой энергии к отопительному периоду 2025/2026 гг. расположенных на территории Анжеро-Судженского городского округа (далее-Программа)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Правила № 2234, Порядок № 2234), содержит информацию об объектах, подлежащих оценке обеспечения готовности к отопительному периоду, определяет работу комиссии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</w:t>
      </w:r>
    </w:p>
    <w:p>
      <w:pPr>
        <w:pStyle w:val="para110"/>
        <w:ind w:left="0" w:firstLine="70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10"/>
        <w:ind w:left="0" w:firstLine="709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Объекты, подлежащие оценке обеспечения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both"/>
        <w:tabs defTabSz="708">
          <w:tab w:val="right" w:pos="567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>2. Указанная комиссия в соответствии со статьей 20 Федерального закона от 27.07.2010 № 190</w:t>
        <w:noBreakHyphen/>
        <w:t>ФЗ «О теплоснабжении» осуществляет оценку обеспечения готовности к отопительному периоду на территории Анжеро-Судженского городского округа следующими лицами:</w:t>
      </w:r>
    </w:p>
    <w:p>
      <w:pPr>
        <w:spacing/>
        <w:jc w:val="both"/>
        <w:tabs defTabSz="708">
          <w:tab w:val="right" w:pos="42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2.1. теплоснабжающими организациями;</w:t>
      </w:r>
    </w:p>
    <w:p>
      <w:pPr>
        <w:spacing/>
        <w:jc w:val="both"/>
        <w:tabs defTabSz="708">
          <w:tab w:val="right" w:pos="426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2.2. теплосетевыми организациями;</w:t>
      </w:r>
    </w:p>
    <w:p>
      <w:pPr>
        <w:spacing/>
        <w:jc w:val="both"/>
        <w:tabs defTabSz="708">
          <w:tab w:val="right" w:pos="426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2.3. владельцами тепловых сетей, не являющимися теплосетевыми организациями;</w:t>
      </w:r>
    </w:p>
    <w:p>
      <w:pPr>
        <w:spacing/>
        <w:jc w:val="both"/>
        <w:tabs defTabSz="708">
          <w:tab w:val="right" w:pos="426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2.4.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установках;</w:t>
      </w:r>
    </w:p>
    <w:p>
      <w:pPr>
        <w:spacing/>
        <w:jc w:val="both"/>
        <w:tabs defTabSz="708">
          <w:tab w:val="left" w:pos="567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2.5. управляющей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>
      <w:pPr>
        <w:spacing/>
        <w:jc w:val="both"/>
        <w:tabs defTabSz="708">
          <w:tab w:val="left" w:pos="567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2.6. 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>
      <w:pPr>
        <w:pStyle w:val="para110"/>
        <w:ind w:left="360"/>
        <w:spacing w:after="0" w:line="240" w:lineRule="auto"/>
        <w:jc w:val="both"/>
        <w:tabs defTabSz="708">
          <w:tab w:val="righ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10"/>
        <w:ind w:left="0"/>
        <w:spacing w:after="0" w:line="240" w:lineRule="auto"/>
        <w:jc w:val="center"/>
        <w:tabs defTabSz="708">
          <w:tab w:val="righ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оценки готовности</w:t>
      </w:r>
    </w:p>
    <w:p>
      <w:pPr>
        <w:pStyle w:val="para110"/>
        <w:ind w:left="0" w:firstLine="567"/>
        <w:spacing w:after="0" w:line="240" w:lineRule="auto"/>
        <w:jc w:val="both"/>
        <w:tabs defTabSz="708">
          <w:tab w:val="righ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3.1. Работа Комиссии осуществляется в отношении объектов и организаций, согласно графику проведения проверок (приложение 1 к Программе).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2 настоящего Порядка, определяется как среднеарифметическое значение индексов готовности объектов оценки обеспечения готовности.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По результатам расчета индекса готовности устанавливается: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уровень готовности «Не готов» — если индекс готовности меньше 0,8;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уровень готовности «Готов с условиями» — если индекс готовности меньше 0,9 и больше либо равен 0,8;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уровень готовности «Готов» — если индекс готовности больше либо равен 0,9. 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3.4.1.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3.4.2.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>
      <w:pPr>
        <w:pStyle w:val="para4"/>
        <w:ind w:firstLine="567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3.5. Действия при неустранении замечаний.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3.5.1. В случае неустранения замечаний лицами, указанными указанных в п. 2.1-2.3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3.5.2. В случае неустранения замечаний лицами, указанными указанных в п. 2.4-2.6 настоящего Порядка,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3.6. Фиксация соблюдения требований.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Не позднее одного рабочего дня с даты завершения оценки обеспечения готовности комиссией составляется акт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>
      <w:pPr>
        <w:ind w:firstLine="567"/>
        <w:spacing/>
        <w:jc w:val="both"/>
        <w:tabs defTabSz="708">
          <w:tab w:val="right" w:pos="993" w:leader="none"/>
        </w:tabs>
        <w:rPr>
          <w:sz w:val="28"/>
          <w:szCs w:val="28"/>
        </w:rPr>
      </w:pPr>
      <w:r>
        <w:rPr>
          <w:sz w:val="28"/>
          <w:szCs w:val="28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>
      <w:pPr>
        <w:spacing w:before="240" w:after="120"/>
        <w:jc w:val="center"/>
        <w:tabs defTabSz="708">
          <w:tab w:val="right" w:pos="992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членов комиссии</w:t>
      </w:r>
    </w:p>
    <w:p>
      <w:pPr>
        <w:pStyle w:val="para110"/>
        <w:numPr>
          <w:ilvl w:val="0"/>
          <w:numId w:val="7"/>
        </w:numPr>
        <w:ind w:left="360" w:hanging="360"/>
        <w:spacing w:after="0" w:line="240" w:lineRule="auto"/>
        <w:jc w:val="both"/>
        <w:tabs defTabSz="708">
          <w:tab w:val="right" w:pos="1134" w:leader="none"/>
        </w:tabs>
        <w:rPr>
          <w:rFonts w:ascii="Times New Roman" w:hAnsi="Times New Roman" w:cs="Times New Roman"/>
          <w:vanish w:val="1"/>
          <w:sz w:val="28"/>
          <w:szCs w:val="28"/>
        </w:rPr>
      </w:pPr>
      <w:r>
        <w:rPr>
          <w:rFonts w:ascii="Times New Roman" w:hAnsi="Times New Roman" w:cs="Times New Roman"/>
          <w:vanish w:val="1"/>
          <w:sz w:val="28"/>
          <w:szCs w:val="28"/>
        </w:rPr>
      </w:r>
    </w:p>
    <w:p>
      <w:pPr>
        <w:pStyle w:val="para110"/>
        <w:numPr>
          <w:ilvl w:val="0"/>
          <w:numId w:val="7"/>
        </w:numPr>
        <w:ind w:left="360" w:hanging="360"/>
        <w:spacing w:after="0" w:line="240" w:lineRule="auto"/>
        <w:jc w:val="both"/>
        <w:tabs defTabSz="708">
          <w:tab w:val="right" w:pos="1134" w:leader="none"/>
        </w:tabs>
        <w:rPr>
          <w:rFonts w:ascii="Times New Roman" w:hAnsi="Times New Roman" w:cs="Times New Roman"/>
          <w:vanish w:val="1"/>
          <w:sz w:val="28"/>
          <w:szCs w:val="28"/>
        </w:rPr>
      </w:pPr>
      <w:r>
        <w:rPr>
          <w:rFonts w:ascii="Times New Roman" w:hAnsi="Times New Roman" w:cs="Times New Roman"/>
          <w:vanish w:val="1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4.1. Число членов комиссии, включая ее председателя и заместителя председателя, должно быть нечетным.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и заместитель председателя являются членами комиссии.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4.4.В отсутствие председателя комиссии его обязанности исполняет заместитель председателя комиссии.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4.5. Все члены комиссии при принятии решений обладают равными правами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 Председатель (заместитель председателя) комиссии обязан: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4.6.1. возглавлять комиссию и руководить ее деятельностью;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4.6.2. утверждать настоящую программу;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4.6.3. проводить плановые и внеплановые заседания комиссии;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4.6.4. координировать работу комиссии;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4.6.5. определять сроки выдачи паспортов обеспечения готовности к отопительному периоду.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4.7. Члены комиссии обязаны: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4.7.1лично участвовать в заседаниях комиссии;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4.7.2. выполнять поручения комиссии;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4.7.3. соблюдать установленные комиссией ограничения на разглашение информации.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4.7.4.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4.8. Члены комиссии имеют право: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4.8.1.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>
      <w:pPr>
        <w:ind w:firstLine="567"/>
        <w:spacing/>
        <w:jc w:val="both"/>
        <w:tabs defTabSz="708"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8"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8"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237"/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1</w:t>
      </w:r>
    </w:p>
    <w:p>
      <w:pPr>
        <w:ind w:left="6237"/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>к программе проведения оценки обеспечения готовности к отопительному периоду, утвержденной постановлением администрации Анжеро-Судженского городского округа от 30 июня 2025г. № 688</w:t>
      </w:r>
    </w:p>
    <w:p>
      <w:pPr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График проведения оценки обеспечения готовности к отопительному периоду 2025/2026 гг.</w:t>
      </w:r>
    </w:p>
    <w:p>
      <w:pPr>
        <w:ind w:left="-142"/>
        <w:spacing/>
        <w:jc w:val="both"/>
        <w:keepNext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TableGrid"/>
        <w:name w:val="Таблица4"/>
        <w:tabOrder w:val="0"/>
        <w:jc w:val="left"/>
        <w:tblInd w:w="-431" w:type="dxa"/>
        <w:tblW w:w="10065" w:type="dxa"/>
        <w:pPr>
          <w:ind w:left="-431"/>
        </w:pPr>
        <w:tblLook w:val="04A0" w:firstRow="1" w:lastRow="0" w:firstColumn="1" w:lastColumn="0" w:noHBand="0" w:noVBand="1"/>
      </w:tblPr>
      <w:tblGrid>
        <w:gridCol w:w="823"/>
        <w:gridCol w:w="4251"/>
        <w:gridCol w:w="1873"/>
        <w:gridCol w:w="3118"/>
      </w:tblGrid>
      <w:tr>
        <w:trPr>
          <w:tblHeader w:val="0"/>
          <w:cantSplit w:val="0"/>
          <w:trHeight w:val="0" w:hRule="auto"/>
        </w:trPr>
        <w:tc>
          <w:tcPr>
            <w:tcW w:w="823" w:type="dxa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1" w:type="dxa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подлежащие проверке</w:t>
            </w:r>
          </w:p>
        </w:tc>
        <w:tc>
          <w:tcPr>
            <w:tcW w:w="1873" w:type="dxa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провеки</w:t>
            </w:r>
          </w:p>
        </w:tc>
        <w:tc>
          <w:tcPr>
            <w:tcW w:w="3118" w:type="dxa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Документация, проверяемая в ходе проверки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АО «Каскад-энерго»</w:t>
            </w:r>
          </w:p>
        </w:tc>
        <w:tc>
          <w:tcPr>
            <w:tcW w:w="187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21.07.2025-25.07.2025</w:t>
            </w:r>
          </w:p>
        </w:tc>
        <w:tc>
          <w:tcPr>
            <w:tcW w:w="3118" w:type="dxa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562" w:hRule="atLeast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ГБУ КО «Анжеро-Судженский психоневрологический интернат»</w:t>
            </w:r>
          </w:p>
        </w:tc>
        <w:tc>
          <w:tcPr>
            <w:tcW w:w="187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22.08.2025г.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«Анжеро-Судженский комплексный центр социального обслуживания населения»</w:t>
            </w:r>
          </w:p>
        </w:tc>
        <w:tc>
          <w:tcPr>
            <w:tcW w:w="187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21.08.2025г.</w:t>
            </w: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134309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№7</w:t>
            </w:r>
          </w:p>
        </w:tc>
        <w:tc>
          <w:tcPr>
            <w:tcW w:w="1873" w:type="dxa"/>
            <w:vMerge w:val="restart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14.08.2025г.-20.08.2025г.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bookmarkStart w:id="4" w:name="ИО"/>
            <w:r/>
            <w:bookmarkEnd w:id="4"/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№37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№2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№12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№28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№31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1343095" protected="0"/>
          </w:tcPr>
          <w:p>
            <w:pPr>
              <w:spacing/>
              <w:jc w:val="center"/>
            </w:pPr>
            <w:r>
              <w:rPr>
                <w:b/>
              </w:rPr>
              <w:t>ООО «Мир тепла»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Блочно-модульная котельная, ул.Водоканальная, 7А</w:t>
            </w:r>
          </w:p>
        </w:tc>
        <w:tc>
          <w:tcPr>
            <w:tcW w:w="1873" w:type="dxa"/>
            <w:vMerge w:val="restart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04.08.2025г.-08.08.2025г.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Блочно-модульная котельная, ул.Водоканальная, 27А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б</w:t>
            </w:r>
            <w:r>
              <w:rPr>
                <w:bCs/>
                <w:sz w:val="28"/>
                <w:szCs w:val="28"/>
              </w:rPr>
              <w:t>лочно-модульной котельной, ул.Водоканальная, 7А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б</w:t>
            </w:r>
            <w:r>
              <w:rPr>
                <w:bCs/>
                <w:sz w:val="28"/>
                <w:szCs w:val="28"/>
              </w:rPr>
              <w:t>лочно-модульной котельной, ул.Водоканальная, 27А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134309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ООО «ТеплоРесурс»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</w:t>
            </w:r>
          </w:p>
        </w:tc>
        <w:tc>
          <w:tcPr>
            <w:tcW w:w="1873" w:type="dxa"/>
            <w:vMerge w:val="restart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28.07.2025г.-01.08.2025г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№3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№7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№23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№27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№30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</w:t>
            </w:r>
          </w:p>
        </w:tc>
        <w:tc>
          <w:tcPr>
            <w:tcW w:w="1873" w:type="dxa"/>
            <w:vMerge w:val="restart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28.07.2025г.-01.08.2025г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№3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№7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№18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№23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№24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№25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№26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№27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№29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97" w:hRule="atLeast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№30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«Новая сетевая компания» (теплосети от АО «Каскад-энерго»)</w:t>
            </w:r>
          </w:p>
        </w:tc>
        <w:tc>
          <w:tcPr>
            <w:tcW w:w="187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21.07.2025-25.07.2025</w:t>
            </w:r>
          </w:p>
        </w:tc>
        <w:tc>
          <w:tcPr>
            <w:tcW w:w="3118" w:type="dxa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134309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Жилой фонд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Приоритет»</w:t>
            </w:r>
          </w:p>
        </w:tc>
        <w:tc>
          <w:tcPr>
            <w:tcW w:w="1873" w:type="dxa"/>
            <w:vMerge w:val="restart"/>
            <w:vAlign w:val="center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25.08.2025г.-05.09.2025г.</w:t>
            </w:r>
          </w:p>
        </w:tc>
        <w:tc>
          <w:tcPr>
            <w:tcW w:w="3118" w:type="dxa"/>
            <w:vMerge w:val="restart"/>
            <w:tmTcPr id="175134309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tabs defTabSz="708">
                <w:tab w:val="right" w:pos="9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«Диалог-АС»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Сервис дом»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«Управляющая компания Анжерская»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«УКА»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Аркада»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Крокус»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«Лидер УК»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«Велес»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«Парус»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Восток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Сибирь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Домовой</w:t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tmTcPr id="1751343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134309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right" w:pos="9921" w:leader="none"/>
        </w:tabs>
      </w:pPr>
      <w:r/>
    </w:p>
    <w:p>
      <w:pPr>
        <w:spacing/>
        <w:jc w:val="right"/>
        <w:tabs defTabSz="708">
          <w:tab w:val="left" w:pos="567" w:leader="none"/>
          <w:tab w:val="left" w:pos="7655" w:leader="none"/>
        </w:tabs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1"/>
      <w:type w:val="nextPage"/>
      <w:pgSz w:h="16838" w:w="11906"/>
      <w:pgMar w:left="1701" w:top="567" w:right="851" w:bottom="1134" w:header="0"/>
      <w:paperSrc w:first="0" w:other="0" a="0" b="0"/>
      <w:pgNumType w:fmt="decimal"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roman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swiss"/>
    <w:pitch w:val="default"/>
  </w:font>
  <w:font w:name="Verdana">
    <w:charset w:val="00"/>
    <w:family w:val="swiss"/>
    <w:pitch w:val="default"/>
  </w:font>
  <w:font w:name="Segoe UI">
    <w:charset w:val="00"/>
    <w:family w:val="swiss"/>
    <w:pitch w:val="default"/>
  </w:font>
  <w:font w:name="Calibri">
    <w:charset w:val="00"/>
    <w:family w:val="swiss"/>
    <w:pitch w:val="default"/>
  </w:font>
  <w:font w:name="Arial Narrow">
    <w:charset w:val="00"/>
    <w:family w:val="swiss"/>
    <w:pitch w:val="default"/>
  </w:font>
  <w:font w:name="SimSu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06"/>
      <w:spacing/>
      <w:jc w:val="center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singleLevel"/>
    <w:name w:val="WW8Num6"/>
    <w:lvl w:ilvl="0">
      <w:numFmt w:val="bullet"/>
      <w:suff w:val="tab"/>
      <w:lvlText w:val="·"/>
      <w:lvlJc w:val="left"/>
      <w:pPr>
        <w:ind w:left="994" w:hanging="0"/>
      </w:pPr>
      <w:rPr>
        <w:rFonts w:ascii="Symbol" w:hAnsi="Symbol" w:cs="Symbol"/>
      </w:rPr>
    </w:lvl>
  </w:abstractNum>
  <w:abstractNum w:abstractNumId="3">
    <w:multiLevelType w:val="hybridMultilevel"/>
    <w:name w:val="WW8Num7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8"/>
      </w:rPr>
    </w:lvl>
    <w:lvl w:ilvl="1">
      <w:start w:val="1"/>
      <w:numFmt w:val="decimal"/>
      <w:suff w:val="tab"/>
      <w:lvlText w:val="%1.%2."/>
      <w:lvlJc w:val="left"/>
      <w:pPr>
        <w:ind w:left="425" w:hanging="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1134" w:hanging="0"/>
      </w:pPr>
      <w:rPr>
        <w:sz w:val="28"/>
      </w:rPr>
    </w:lvl>
    <w:lvl w:ilvl="3">
      <w:start w:val="1"/>
      <w:numFmt w:val="decimal"/>
      <w:suff w:val="tab"/>
      <w:lvlText w:val="%1.%2.%3.%4."/>
      <w:lvlJc w:val="left"/>
      <w:pPr>
        <w:ind w:left="1701" w:hanging="0"/>
      </w:pPr>
      <w:rPr>
        <w:sz w:val="28"/>
      </w:rPr>
    </w:lvl>
    <w:lvl w:ilvl="4">
      <w:start w:val="1"/>
      <w:numFmt w:val="decimal"/>
      <w:suff w:val="tab"/>
      <w:lvlText w:val="%1.%2.%3.%4.%5."/>
      <w:lvlJc w:val="left"/>
      <w:pPr>
        <w:ind w:left="2268" w:hanging="0"/>
      </w:pPr>
      <w:rPr>
        <w:sz w:val="28"/>
      </w:rPr>
    </w:lvl>
    <w:lvl w:ilvl="5">
      <w:start w:val="1"/>
      <w:numFmt w:val="decimal"/>
      <w:suff w:val="tab"/>
      <w:lvlText w:val="%1.%2.%3.%4.%5.%6."/>
      <w:lvlJc w:val="left"/>
      <w:pPr>
        <w:ind w:left="2835" w:hanging="0"/>
      </w:pPr>
      <w:rPr>
        <w:sz w:val="28"/>
      </w:rPr>
    </w:lvl>
    <w:lvl w:ilvl="6">
      <w:start w:val="1"/>
      <w:numFmt w:val="decimal"/>
      <w:suff w:val="tab"/>
      <w:lvlText w:val="%1.%2.%3.%4.%5.%6.%7."/>
      <w:lvlJc w:val="left"/>
      <w:pPr>
        <w:ind w:left="3402" w:hanging="0"/>
      </w:pPr>
      <w:rPr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left="3969" w:hanging="0"/>
      </w:pPr>
      <w:rPr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left="4536" w:hanging="0"/>
      </w:pPr>
      <w:rPr>
        <w:sz w:val="28"/>
      </w:rPr>
    </w:lvl>
  </w:abstractNum>
  <w:abstractNum w:abstractNumId="4">
    <w:multiLevelType w:val="hybridMultilevel"/>
    <w:name w:val="WW8Num20"/>
    <w:lvl w:ilvl="0">
      <w:start w:val="4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Нумерованный список 2"/>
    <w:lvl w:ilvl="0">
      <w:numFmt w:val="bullet"/>
      <w:suff w:val="tab"/>
      <w:lvlText w:val="-"/>
      <w:lvlJc w:val="left"/>
      <w:pPr>
        <w:ind w:left="927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647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367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087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807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527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247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67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687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Нумерованный список 3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8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righ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righ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right"/>
      <w:pPr>
        <w:ind w:left="6648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8"/>
    <w:tmLastPosSelect w:val="0"/>
    <w:tmLastPosFrameIdx w:val="0"/>
    <w:tmLastPosCaret>
      <w:tmLastPosPgfIdx w:val="108"/>
      <w:tmLastPosIdx w:val="180"/>
    </w:tmLastPosCaret>
    <w:tmLastPosAnchor>
      <w:tmLastPosPgfIdx w:val="0"/>
      <w:tmLastPosIdx w:val="0"/>
    </w:tmLastPosAnchor>
    <w:tmLastPosTblRect w:left="0" w:top="0" w:right="0" w:bottom="0"/>
  </w:tmLastPos>
  <w:tmAppRevision w:date="1751343095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pacing w:val="40" w:percent="117"/>
      <w:sz w:val="48"/>
    </w:rPr>
  </w:style>
  <w:style w:type="paragraph" w:styleId="para3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 w:after="140" w:line="276" w:lineRule="auto"/>
    </w:p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 w:customStyle="1">
    <w:name w:val="Caption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9" w:customStyle="1">
    <w:name w:val="Caption1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0" w:customStyle="1">
    <w:name w:val="juscontextcxspmiddle"/>
    <w:qFormat/>
    <w:basedOn w:val="para0"/>
    <w:pPr>
      <w:spacing w:before="280" w:after="280"/>
    </w:pPr>
    <w:rPr>
      <w:sz w:val="24"/>
      <w:szCs w:val="24"/>
    </w:rPr>
  </w:style>
  <w:style w:type="paragraph" w:styleId="para11" w:customStyle="1">
    <w:name w:val="Знак Знак Знак Знак"/>
    <w:qFormat/>
    <w:basedOn w:val="para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para12" w:customStyle="1">
    <w:name w:val="Char Char"/>
    <w:qFormat/>
    <w:basedOn w:val="para0"/>
    <w:pPr>
      <w:spacing w:after="160" w:line="240" w:lineRule="exact"/>
    </w:pPr>
    <w:rPr>
      <w:rFonts w:ascii="Verdana" w:hAnsi="Verdana" w:cs="Verdana"/>
      <w:lang w:val="en-us"/>
    </w:rPr>
  </w:style>
  <w:style w:type="paragraph" w:styleId="para13" w:customStyle="1">
    <w:name w:val="xl6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4" w:customStyle="1">
    <w:name w:val="xl70"/>
    <w:qFormat/>
    <w:basedOn w:val="para0"/>
    <w:pPr>
      <w:spacing w:before="280" w:after="280"/>
    </w:pPr>
    <w:rPr>
      <w:sz w:val="24"/>
      <w:szCs w:val="24"/>
    </w:rPr>
  </w:style>
  <w:style w:type="paragraph" w:styleId="para15" w:customStyle="1">
    <w:name w:val="xl7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6" w:customStyle="1">
    <w:name w:val="xl72"/>
    <w:qFormat/>
    <w:basedOn w:val="para0"/>
    <w:pPr>
      <w:spacing w:before="280" w:after="280"/>
    </w:pPr>
    <w:rPr>
      <w:sz w:val="24"/>
      <w:szCs w:val="24"/>
    </w:rPr>
  </w:style>
  <w:style w:type="paragraph" w:styleId="para17" w:customStyle="1">
    <w:name w:val="xl73"/>
    <w:qFormat/>
    <w:basedOn w:val="para0"/>
    <w:pPr>
      <w:spacing w:before="280" w:after="280"/>
      <w:jc w:val="center"/>
    </w:pPr>
    <w:rPr>
      <w:sz w:val="24"/>
      <w:szCs w:val="24"/>
    </w:rPr>
  </w:style>
  <w:style w:type="paragraph" w:styleId="para18" w:customStyle="1">
    <w:name w:val="xl74"/>
    <w:qFormat/>
    <w:basedOn w:val="para0"/>
    <w:pPr>
      <w:spacing w:before="280" w:after="280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19" w:customStyle="1">
    <w:name w:val="xl75"/>
    <w:qFormat/>
    <w:basedOn w:val="para0"/>
    <w:pPr>
      <w:spacing w:before="280" w:after="280"/>
    </w:pPr>
  </w:style>
  <w:style w:type="paragraph" w:styleId="para20" w:customStyle="1">
    <w:name w:val="xl7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1" w:customStyle="1">
    <w:name w:val="xl7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2" w:customStyle="1">
    <w:name w:val="xl7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3" w:customStyle="1">
    <w:name w:val="xl7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8"/>
      <w:szCs w:val="28"/>
    </w:rPr>
  </w:style>
  <w:style w:type="paragraph" w:styleId="para24" w:customStyle="1">
    <w:name w:val="xl8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5" w:customStyle="1">
    <w:name w:val="xl8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6" w:customStyle="1">
    <w:name w:val="xl8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7" w:customStyle="1">
    <w:name w:val="xl8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8" w:customStyle="1">
    <w:name w:val="xl8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9" w:customStyle="1">
    <w:name w:val="xl8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0" w:customStyle="1">
    <w:name w:val="xl8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1" w:customStyle="1">
    <w:name w:val="xl8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2" w:customStyle="1">
    <w:name w:val="xl8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3" w:customStyle="1">
    <w:name w:val="xl8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4" w:customStyle="1">
    <w:name w:val="xl9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5" w:customStyle="1">
    <w:name w:val="xl9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6" w:customStyle="1">
    <w:name w:val="xl9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7" w:customStyle="1">
    <w:name w:val="xl9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8" w:customStyle="1">
    <w:name w:val="xl9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9" w:customStyle="1">
    <w:name w:val="xl9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40" w:customStyle="1">
    <w:name w:val="xl9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1" w:customStyle="1">
    <w:name w:val="xl9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2" w:customStyle="1">
    <w:name w:val="xl98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3" w:customStyle="1">
    <w:name w:val="xl9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4" w:customStyle="1">
    <w:name w:val="xl100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5" w:customStyle="1">
    <w:name w:val="xl10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6" w:customStyle="1">
    <w:name w:val="xl102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7" w:customStyle="1">
    <w:name w:val="xl10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10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9" w:customStyle="1">
    <w:name w:val="xl10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50" w:customStyle="1">
    <w:name w:val="xl10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1" w:customStyle="1">
    <w:name w:val="xl10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2" w:customStyle="1">
    <w:name w:val="xl10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3" w:customStyle="1">
    <w:name w:val="xl10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4" w:customStyle="1">
    <w:name w:val="xl11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5" w:customStyle="1">
    <w:name w:val="xl11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6" w:customStyle="1">
    <w:name w:val="xl112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7" w:customStyle="1">
    <w:name w:val="xl11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2CC" tmshd="1677721856, 0, 13431551"/>
    </w:pPr>
    <w:rPr>
      <w:color w:val="000000"/>
      <w:sz w:val="24"/>
      <w:szCs w:val="24"/>
    </w:rPr>
  </w:style>
  <w:style w:type="paragraph" w:styleId="para58" w:customStyle="1">
    <w:name w:val="xl11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9" w:customStyle="1">
    <w:name w:val="xl11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0" w:customStyle="1">
    <w:name w:val="xl11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61" w:customStyle="1">
    <w:name w:val="xl11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11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BDD7EE" tmshd="1677721856, 0, 15652797"/>
    </w:pPr>
    <w:rPr>
      <w:color w:val="000000"/>
      <w:sz w:val="24"/>
      <w:szCs w:val="24"/>
    </w:rPr>
  </w:style>
  <w:style w:type="paragraph" w:styleId="para63" w:customStyle="1">
    <w:name w:val="xl11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12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5" w:customStyle="1">
    <w:name w:val="xl12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66" w:customStyle="1">
    <w:name w:val="xl12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7" w:customStyle="1">
    <w:name w:val="xl123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12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12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12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1" w:customStyle="1">
    <w:name w:val="xl127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2" w:customStyle="1">
    <w:name w:val="xl12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3" w:customStyle="1">
    <w:name w:val="xl12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4" w:customStyle="1">
    <w:name w:val="xl13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5" w:customStyle="1">
    <w:name w:val="xl13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6" w:customStyle="1">
    <w:name w:val="xl13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xl13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8" w:customStyle="1">
    <w:name w:val="xl134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9" w:customStyle="1">
    <w:name w:val="xl135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0" w:customStyle="1">
    <w:name w:val="xl136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1" w:customStyle="1">
    <w:name w:val="xl13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2" w:customStyle="1">
    <w:name w:val="xl13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3" w:customStyle="1">
    <w:name w:val="xl13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4" w:customStyle="1">
    <w:name w:val="xl14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5" w:customStyle="1">
    <w:name w:val="xl14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6" w:customStyle="1">
    <w:name w:val="xl14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7" w:customStyle="1">
    <w:name w:val="xl14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8" w:customStyle="1">
    <w:name w:val="xl144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9" w:customStyle="1">
    <w:name w:val="xl145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0" w:customStyle="1">
    <w:name w:val="xl14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1" w:customStyle="1">
    <w:name w:val="xl14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2" w:customStyle="1">
    <w:name w:val="xl148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3" w:customStyle="1">
    <w:name w:val="xl14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color w:val="000000"/>
      <w:sz w:val="24"/>
      <w:szCs w:val="24"/>
    </w:rPr>
  </w:style>
  <w:style w:type="paragraph" w:styleId="para94" w:customStyle="1">
    <w:name w:val="xl15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95" w:customStyle="1">
    <w:name w:val="xl151"/>
    <w:qFormat/>
    <w:basedOn w:val="para0"/>
    <w:pPr>
      <w:spacing w:before="280" w:after="280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6" w:customStyle="1">
    <w:name w:val="xl15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7" w:customStyle="1">
    <w:name w:val="xl15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8" w:customStyle="1">
    <w:name w:val="xl15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9" w:customStyle="1">
    <w:name w:val="xl15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0" w:customStyle="1">
    <w:name w:val="xl156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1" w:customStyle="1">
    <w:name w:val="xl157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>
    <w:name w:val="Normal (Web)"/>
    <w:qFormat/>
    <w:basedOn w:val="para0"/>
    <w:pPr>
      <w:spacing w:after="225"/>
    </w:pPr>
    <w:rPr>
      <w:sz w:val="24"/>
      <w:szCs w:val="24"/>
    </w:rPr>
  </w:style>
  <w:style w:type="paragraph" w:styleId="para105" w:customStyle="1">
    <w:name w:val="Название объекта1"/>
    <w:qFormat/>
    <w:basedOn w:val="para0"/>
    <w:next w:val="para0"/>
    <w:pPr>
      <w:spacing w:before="120"/>
      <w:jc w:val="both"/>
      <w:keepNext/>
    </w:pPr>
    <w:rPr>
      <w:b/>
      <w:bCs/>
      <w:sz w:val="24"/>
      <w:szCs w:val="24"/>
    </w:rPr>
  </w:style>
  <w:style w:type="paragraph" w:styleId="para106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para107" w:customStyle="1">
    <w:name w:val="Основной текст с отступом 31"/>
    <w:qFormat/>
    <w:basedOn w:val="para0"/>
    <w:pPr>
      <w:ind w:firstLine="567"/>
      <w:spacing/>
      <w:jc w:val="both"/>
      <w:widowControl w:val="0"/>
      <w:tabs defTabSz="708">
        <w:tab w:val="left" w:pos="499" w:leader="none"/>
        <w:tab w:val="left" w:pos="8884" w:leader="none"/>
      </w:tabs>
    </w:pPr>
    <w:rPr>
      <w:sz w:val="28"/>
      <w:szCs w:val="24"/>
    </w:rPr>
  </w:style>
  <w:style w:type="paragraph" w:styleId="para108" w:customStyle="1">
    <w:name w:val="Основной текст2"/>
    <w:qFormat/>
    <w:basedOn w:val="para0"/>
    <w:pPr>
      <w:spacing w:after="300" w:line="326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  <w:noProof w:val="1"/>
    </w:rPr>
  </w:style>
  <w:style w:type="paragraph" w:styleId="para10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0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 w:cs="Calibri"/>
      <w:sz w:val="22"/>
      <w:szCs w:val="22"/>
      <w:lang w:eastAsia="ru-ru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Основной шрифт абзаца1"/>
  </w:style>
  <w:style w:type="character" w:styleId="char3">
    <w:name w:val="Hyperlink"/>
    <w:rPr>
      <w:color w:val="0563c1"/>
      <w:u w:color="auto" w:val="single"/>
    </w:rPr>
  </w:style>
  <w:style w:type="character" w:styleId="char4">
    <w:name w:val="FollowedHyperlink"/>
    <w:rPr>
      <w:color w:val="954f72"/>
      <w:u w:color="auto" w:val="single"/>
    </w:rPr>
  </w:style>
  <w:style w:type="character" w:styleId="char5" w:customStyle="1">
    <w:name w:val="WW8Num6z0"/>
    <w:rPr>
      <w:rFonts w:ascii="Symbol" w:hAnsi="Symbol" w:cs="Symbol"/>
    </w:rPr>
  </w:style>
  <w:style w:type="character" w:styleId="char6" w:customStyle="1">
    <w:name w:val="WW8Num6z1"/>
    <w:rPr>
      <w:rFonts w:ascii="Courier New" w:hAnsi="Courier New" w:cs="Courier New"/>
    </w:rPr>
  </w:style>
  <w:style w:type="character" w:styleId="char7" w:customStyle="1">
    <w:name w:val="WW8Num6z2"/>
    <w:rPr>
      <w:rFonts w:ascii="Wingdings" w:hAnsi="Wingdings" w:cs="Wingdings"/>
    </w:rPr>
  </w:style>
  <w:style w:type="character" w:styleId="char8" w:customStyle="1">
    <w:name w:val="WW8Num7z0"/>
    <w:rPr>
      <w:sz w:val="28"/>
    </w:rPr>
  </w:style>
  <w:style w:type="character" w:styleId="char9" w:customStyle="1">
    <w:name w:val="WW8Num20z0"/>
  </w:style>
  <w:style w:type="character" w:styleId="char10" w:customStyle="1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styleId="char11" w:customStyle="1">
    <w:name w:val="Абзац списка Знак"/>
    <w:rPr>
      <w:rFonts w:ascii="Calibri" w:hAnsi="Calibri" w:eastAsia="Calibri" w:cs="Calibri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widowControl w:val="0"/>
    </w:pPr>
    <w:rPr>
      <w:rFonts w:ascii="Tahoma" w:hAnsi="Tahoma" w:eastAsia="Tahoma" w:cs="Tahoma"/>
      <w:sz w:val="24"/>
      <w:szCs w:val="24"/>
      <w:lang w:val="en-us" w:bidi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pacing w:val="40" w:percent="117"/>
      <w:sz w:val="48"/>
    </w:rPr>
  </w:style>
  <w:style w:type="paragraph" w:styleId="para3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 w:after="140" w:line="276" w:lineRule="auto"/>
    </w:p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 w:customStyle="1">
    <w:name w:val="Caption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9" w:customStyle="1">
    <w:name w:val="Caption1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0" w:customStyle="1">
    <w:name w:val="juscontextcxspmiddle"/>
    <w:qFormat/>
    <w:basedOn w:val="para0"/>
    <w:pPr>
      <w:spacing w:before="280" w:after="280"/>
    </w:pPr>
    <w:rPr>
      <w:sz w:val="24"/>
      <w:szCs w:val="24"/>
    </w:rPr>
  </w:style>
  <w:style w:type="paragraph" w:styleId="para11" w:customStyle="1">
    <w:name w:val="Знак Знак Знак Знак"/>
    <w:qFormat/>
    <w:basedOn w:val="para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para12" w:customStyle="1">
    <w:name w:val="Char Char"/>
    <w:qFormat/>
    <w:basedOn w:val="para0"/>
    <w:pPr>
      <w:spacing w:after="160" w:line="240" w:lineRule="exact"/>
    </w:pPr>
    <w:rPr>
      <w:rFonts w:ascii="Verdana" w:hAnsi="Verdana" w:cs="Verdana"/>
      <w:lang w:val="en-us"/>
    </w:rPr>
  </w:style>
  <w:style w:type="paragraph" w:styleId="para13" w:customStyle="1">
    <w:name w:val="xl6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4" w:customStyle="1">
    <w:name w:val="xl70"/>
    <w:qFormat/>
    <w:basedOn w:val="para0"/>
    <w:pPr>
      <w:spacing w:before="280" w:after="280"/>
    </w:pPr>
    <w:rPr>
      <w:sz w:val="24"/>
      <w:szCs w:val="24"/>
    </w:rPr>
  </w:style>
  <w:style w:type="paragraph" w:styleId="para15" w:customStyle="1">
    <w:name w:val="xl7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6" w:customStyle="1">
    <w:name w:val="xl72"/>
    <w:qFormat/>
    <w:basedOn w:val="para0"/>
    <w:pPr>
      <w:spacing w:before="280" w:after="280"/>
    </w:pPr>
    <w:rPr>
      <w:sz w:val="24"/>
      <w:szCs w:val="24"/>
    </w:rPr>
  </w:style>
  <w:style w:type="paragraph" w:styleId="para17" w:customStyle="1">
    <w:name w:val="xl73"/>
    <w:qFormat/>
    <w:basedOn w:val="para0"/>
    <w:pPr>
      <w:spacing w:before="280" w:after="280"/>
      <w:jc w:val="center"/>
    </w:pPr>
    <w:rPr>
      <w:sz w:val="24"/>
      <w:szCs w:val="24"/>
    </w:rPr>
  </w:style>
  <w:style w:type="paragraph" w:styleId="para18" w:customStyle="1">
    <w:name w:val="xl74"/>
    <w:qFormat/>
    <w:basedOn w:val="para0"/>
    <w:pPr>
      <w:spacing w:before="280" w:after="280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19" w:customStyle="1">
    <w:name w:val="xl75"/>
    <w:qFormat/>
    <w:basedOn w:val="para0"/>
    <w:pPr>
      <w:spacing w:before="280" w:after="280"/>
    </w:pPr>
  </w:style>
  <w:style w:type="paragraph" w:styleId="para20" w:customStyle="1">
    <w:name w:val="xl7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1" w:customStyle="1">
    <w:name w:val="xl7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2" w:customStyle="1">
    <w:name w:val="xl7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3" w:customStyle="1">
    <w:name w:val="xl7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8"/>
      <w:szCs w:val="28"/>
    </w:rPr>
  </w:style>
  <w:style w:type="paragraph" w:styleId="para24" w:customStyle="1">
    <w:name w:val="xl8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5" w:customStyle="1">
    <w:name w:val="xl8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6" w:customStyle="1">
    <w:name w:val="xl8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7" w:customStyle="1">
    <w:name w:val="xl8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8" w:customStyle="1">
    <w:name w:val="xl8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9" w:customStyle="1">
    <w:name w:val="xl8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0" w:customStyle="1">
    <w:name w:val="xl8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1" w:customStyle="1">
    <w:name w:val="xl8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2" w:customStyle="1">
    <w:name w:val="xl8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3" w:customStyle="1">
    <w:name w:val="xl8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4" w:customStyle="1">
    <w:name w:val="xl9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5" w:customStyle="1">
    <w:name w:val="xl9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6" w:customStyle="1">
    <w:name w:val="xl9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7" w:customStyle="1">
    <w:name w:val="xl9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8" w:customStyle="1">
    <w:name w:val="xl9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9" w:customStyle="1">
    <w:name w:val="xl9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40" w:customStyle="1">
    <w:name w:val="xl9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1" w:customStyle="1">
    <w:name w:val="xl9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2" w:customStyle="1">
    <w:name w:val="xl98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3" w:customStyle="1">
    <w:name w:val="xl9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4" w:customStyle="1">
    <w:name w:val="xl100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5" w:customStyle="1">
    <w:name w:val="xl10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6" w:customStyle="1">
    <w:name w:val="xl102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7" w:customStyle="1">
    <w:name w:val="xl10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10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9" w:customStyle="1">
    <w:name w:val="xl10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50" w:customStyle="1">
    <w:name w:val="xl10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1" w:customStyle="1">
    <w:name w:val="xl10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2" w:customStyle="1">
    <w:name w:val="xl10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3" w:customStyle="1">
    <w:name w:val="xl10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4" w:customStyle="1">
    <w:name w:val="xl11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5" w:customStyle="1">
    <w:name w:val="xl11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6" w:customStyle="1">
    <w:name w:val="xl112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7" w:customStyle="1">
    <w:name w:val="xl11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2CC" tmshd="1677721856, 0, 13431551"/>
    </w:pPr>
    <w:rPr>
      <w:color w:val="000000"/>
      <w:sz w:val="24"/>
      <w:szCs w:val="24"/>
    </w:rPr>
  </w:style>
  <w:style w:type="paragraph" w:styleId="para58" w:customStyle="1">
    <w:name w:val="xl11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9" w:customStyle="1">
    <w:name w:val="xl11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0" w:customStyle="1">
    <w:name w:val="xl11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61" w:customStyle="1">
    <w:name w:val="xl11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11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BDD7EE" tmshd="1677721856, 0, 15652797"/>
    </w:pPr>
    <w:rPr>
      <w:color w:val="000000"/>
      <w:sz w:val="24"/>
      <w:szCs w:val="24"/>
    </w:rPr>
  </w:style>
  <w:style w:type="paragraph" w:styleId="para63" w:customStyle="1">
    <w:name w:val="xl11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12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5" w:customStyle="1">
    <w:name w:val="xl12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66" w:customStyle="1">
    <w:name w:val="xl12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7" w:customStyle="1">
    <w:name w:val="xl123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12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12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12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1" w:customStyle="1">
    <w:name w:val="xl127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2" w:customStyle="1">
    <w:name w:val="xl12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3" w:customStyle="1">
    <w:name w:val="xl12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4" w:customStyle="1">
    <w:name w:val="xl13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5" w:customStyle="1">
    <w:name w:val="xl13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6" w:customStyle="1">
    <w:name w:val="xl13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xl13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8" w:customStyle="1">
    <w:name w:val="xl134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9" w:customStyle="1">
    <w:name w:val="xl135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0" w:customStyle="1">
    <w:name w:val="xl136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1" w:customStyle="1">
    <w:name w:val="xl13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2" w:customStyle="1">
    <w:name w:val="xl13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3" w:customStyle="1">
    <w:name w:val="xl13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4" w:customStyle="1">
    <w:name w:val="xl14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5" w:customStyle="1">
    <w:name w:val="xl14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6" w:customStyle="1">
    <w:name w:val="xl14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7" w:customStyle="1">
    <w:name w:val="xl14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8" w:customStyle="1">
    <w:name w:val="xl144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9" w:customStyle="1">
    <w:name w:val="xl145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0" w:customStyle="1">
    <w:name w:val="xl14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1" w:customStyle="1">
    <w:name w:val="xl14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2" w:customStyle="1">
    <w:name w:val="xl148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3" w:customStyle="1">
    <w:name w:val="xl14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color w:val="000000"/>
      <w:sz w:val="24"/>
      <w:szCs w:val="24"/>
    </w:rPr>
  </w:style>
  <w:style w:type="paragraph" w:styleId="para94" w:customStyle="1">
    <w:name w:val="xl15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95" w:customStyle="1">
    <w:name w:val="xl151"/>
    <w:qFormat/>
    <w:basedOn w:val="para0"/>
    <w:pPr>
      <w:spacing w:before="280" w:after="280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6" w:customStyle="1">
    <w:name w:val="xl15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7" w:customStyle="1">
    <w:name w:val="xl15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8" w:customStyle="1">
    <w:name w:val="xl15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9" w:customStyle="1">
    <w:name w:val="xl15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0" w:customStyle="1">
    <w:name w:val="xl156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1" w:customStyle="1">
    <w:name w:val="xl157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>
    <w:name w:val="Normal (Web)"/>
    <w:qFormat/>
    <w:basedOn w:val="para0"/>
    <w:pPr>
      <w:spacing w:after="225"/>
    </w:pPr>
    <w:rPr>
      <w:sz w:val="24"/>
      <w:szCs w:val="24"/>
    </w:rPr>
  </w:style>
  <w:style w:type="paragraph" w:styleId="para105" w:customStyle="1">
    <w:name w:val="Название объекта1"/>
    <w:qFormat/>
    <w:basedOn w:val="para0"/>
    <w:next w:val="para0"/>
    <w:pPr>
      <w:spacing w:before="120"/>
      <w:jc w:val="both"/>
      <w:keepNext/>
    </w:pPr>
    <w:rPr>
      <w:b/>
      <w:bCs/>
      <w:sz w:val="24"/>
      <w:szCs w:val="24"/>
    </w:rPr>
  </w:style>
  <w:style w:type="paragraph" w:styleId="para106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para107" w:customStyle="1">
    <w:name w:val="Основной текст с отступом 31"/>
    <w:qFormat/>
    <w:basedOn w:val="para0"/>
    <w:pPr>
      <w:ind w:firstLine="567"/>
      <w:spacing/>
      <w:jc w:val="both"/>
      <w:widowControl w:val="0"/>
      <w:tabs defTabSz="708">
        <w:tab w:val="left" w:pos="499" w:leader="none"/>
        <w:tab w:val="left" w:pos="8884" w:leader="none"/>
      </w:tabs>
    </w:pPr>
    <w:rPr>
      <w:sz w:val="28"/>
      <w:szCs w:val="24"/>
    </w:rPr>
  </w:style>
  <w:style w:type="paragraph" w:styleId="para108" w:customStyle="1">
    <w:name w:val="Основной текст2"/>
    <w:qFormat/>
    <w:basedOn w:val="para0"/>
    <w:pPr>
      <w:spacing w:after="300" w:line="326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  <w:noProof w:val="1"/>
    </w:rPr>
  </w:style>
  <w:style w:type="paragraph" w:styleId="para10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0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 w:cs="Calibri"/>
      <w:sz w:val="22"/>
      <w:szCs w:val="22"/>
      <w:lang w:eastAsia="ru-ru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Основной шрифт абзаца1"/>
  </w:style>
  <w:style w:type="character" w:styleId="char3">
    <w:name w:val="Hyperlink"/>
    <w:rPr>
      <w:color w:val="0563c1"/>
      <w:u w:color="auto" w:val="single"/>
    </w:rPr>
  </w:style>
  <w:style w:type="character" w:styleId="char4">
    <w:name w:val="FollowedHyperlink"/>
    <w:rPr>
      <w:color w:val="954f72"/>
      <w:u w:color="auto" w:val="single"/>
    </w:rPr>
  </w:style>
  <w:style w:type="character" w:styleId="char5" w:customStyle="1">
    <w:name w:val="WW8Num6z0"/>
    <w:rPr>
      <w:rFonts w:ascii="Symbol" w:hAnsi="Symbol" w:cs="Symbol"/>
    </w:rPr>
  </w:style>
  <w:style w:type="character" w:styleId="char6" w:customStyle="1">
    <w:name w:val="WW8Num6z1"/>
    <w:rPr>
      <w:rFonts w:ascii="Courier New" w:hAnsi="Courier New" w:cs="Courier New"/>
    </w:rPr>
  </w:style>
  <w:style w:type="character" w:styleId="char7" w:customStyle="1">
    <w:name w:val="WW8Num6z2"/>
    <w:rPr>
      <w:rFonts w:ascii="Wingdings" w:hAnsi="Wingdings" w:cs="Wingdings"/>
    </w:rPr>
  </w:style>
  <w:style w:type="character" w:styleId="char8" w:customStyle="1">
    <w:name w:val="WW8Num7z0"/>
    <w:rPr>
      <w:sz w:val="28"/>
    </w:rPr>
  </w:style>
  <w:style w:type="character" w:styleId="char9" w:customStyle="1">
    <w:name w:val="WW8Num20z0"/>
  </w:style>
  <w:style w:type="character" w:styleId="char10" w:customStyle="1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styleId="char11" w:customStyle="1">
    <w:name w:val="Абзац списка Знак"/>
    <w:rPr>
      <w:rFonts w:ascii="Calibri" w:hAnsi="Calibri" w:eastAsia="Calibri" w:cs="Calibri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widowControl w:val="0"/>
    </w:pPr>
    <w:rPr>
      <w:rFonts w:ascii="Tahoma" w:hAnsi="Tahoma" w:eastAsia="Tahoma" w:cs="Tahoma"/>
      <w:sz w:val="24"/>
      <w:szCs w:val="24"/>
      <w:lang w:val="en-us" w:bidi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anzhero.ru" TargetMode="External"/><Relationship Id="rId10" Type="http://schemas.openxmlformats.org/officeDocument/2006/relationships/image" Target="media/image2.pn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/>
  <cp:revision>34</cp:revision>
  <cp:lastPrinted>2025-06-27T03:37:00Z</cp:lastPrinted>
  <dcterms:created xsi:type="dcterms:W3CDTF">2025-04-08T07:01:00Z</dcterms:created>
  <dcterms:modified xsi:type="dcterms:W3CDTF">2025-07-01T04:11:35Z</dcterms:modified>
</cp:coreProperties>
</file>